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Нижневартовска </w:t>
      </w:r>
    </w:p>
    <w:p w:rsidR="00B46BAF" w:rsidRPr="007D6BBD" w:rsidRDefault="00B46BAF" w:rsidP="007D6BB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</w:t>
      </w:r>
      <w:proofErr w:type="gramStart"/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__.20___ № ____</w:t>
      </w:r>
    </w:p>
    <w:p w:rsidR="00B46BAF" w:rsidRPr="007D6BBD" w:rsidRDefault="00B46BAF" w:rsidP="007D6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AF" w:rsidRPr="007D6BBD" w:rsidRDefault="00B46BAF" w:rsidP="007D6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порядке проведения антикоррупционной экспертизы</w:t>
      </w: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и проектов нормативных правовых актов</w:t>
      </w: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BB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 Нижневартовска</w:t>
      </w:r>
    </w:p>
    <w:p w:rsidR="00B46BAF" w:rsidRPr="007D6BBD" w:rsidRDefault="00B46BAF" w:rsidP="007D6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AF" w:rsidRPr="007D6BBD" w:rsidRDefault="00B46BAF" w:rsidP="007D6BB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1.Общие положения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1.1. Настоящее Положение разработано в соответствии с Федеральными законами от 25.12.2008 №273-ФЗ «О противодействии коррупции», от 17.07.2009 №172-ФЗ «Об антикоррупционной экспертизе нормативных правовых актов и проектов нормативных правовых актов» и устанавливает порядок проведения антикоррупционной экспертизы нормативных правовых актов и проектов нормативных правовых актов Думы города Нижневартовска (далее – Дума города).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1.2. Цель антикоррупционной экспертизы - выявление в нормативных правовых актах и проектах нормативных правовых актов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 и их последующее устранение.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1.3. Антикоррупционную экспертизу нормативных правовых актов и проектов нормативных правовых актов проводит экспертно-правовой отдел аппарата Думы города (далее – экспертно-правовой отдел).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2. Порядок проведения антикоррупционной экспертизы нормативных правовых актов и проектов нормативных правовых актов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2.1. Антикоррупционная экспертиза нормативных правовых актов </w:t>
      </w:r>
      <w:r w:rsidRPr="007D6BBD">
        <w:rPr>
          <w:rFonts w:ascii="Times New Roman" w:eastAsia="Calibri" w:hAnsi="Times New Roman" w:cs="Times New Roman"/>
          <w:sz w:val="28"/>
          <w:szCs w:val="28"/>
        </w:rPr>
        <w:br/>
        <w:t xml:space="preserve">и проектов нормативных правовых актов Думы города </w:t>
      </w:r>
      <w:r w:rsidR="00D67AF9">
        <w:rPr>
          <w:rFonts w:ascii="Times New Roman" w:eastAsia="Calibri" w:hAnsi="Times New Roman" w:cs="Times New Roman"/>
          <w:sz w:val="28"/>
          <w:szCs w:val="28"/>
        </w:rPr>
        <w:t>проводится согласно М</w:t>
      </w:r>
      <w:r w:rsidRPr="007D6BBD">
        <w:rPr>
          <w:rFonts w:ascii="Times New Roman" w:eastAsia="Calibri" w:hAnsi="Times New Roman" w:cs="Times New Roman"/>
          <w:sz w:val="28"/>
          <w:szCs w:val="28"/>
        </w:rPr>
        <w:t>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№96</w:t>
      </w:r>
      <w:r w:rsidR="00D67AF9">
        <w:rPr>
          <w:rFonts w:ascii="Times New Roman" w:eastAsia="Calibri" w:hAnsi="Times New Roman" w:cs="Times New Roman"/>
          <w:sz w:val="28"/>
          <w:szCs w:val="28"/>
        </w:rPr>
        <w:t xml:space="preserve"> (далее - </w:t>
      </w:r>
      <w:r w:rsidR="00D67AF9" w:rsidRPr="007D6BBD">
        <w:rPr>
          <w:rFonts w:ascii="Times New Roman" w:eastAsia="Calibri" w:hAnsi="Times New Roman" w:cs="Times New Roman"/>
          <w:sz w:val="28"/>
          <w:szCs w:val="28"/>
        </w:rPr>
        <w:t>Методикой проведения антикоррупционной экспертизы</w:t>
      </w:r>
      <w:r w:rsidR="00D67AF9">
        <w:rPr>
          <w:rFonts w:ascii="Times New Roman" w:eastAsia="Calibri" w:hAnsi="Times New Roman" w:cs="Times New Roman"/>
          <w:sz w:val="28"/>
          <w:szCs w:val="28"/>
        </w:rPr>
        <w:t>)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Для обеспечения обоснованности, объективности и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проверяемости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результатов антикоррупционной экспертизы проводится экспертиза каждой нормы нормативного правового акта или положения проекта нормативного правового акта.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2.2. Антикоррупционная экспертиза проектов нормативных правовых актов проводится при проведении правовой экспертизы внесенных в Думу города в порядке правотворческой инициативы проектов нормативных правовых актов в </w:t>
      </w:r>
      <w:r w:rsidRPr="007D6BB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течении 30 дней со дня регистрации проектов нормативных правовых актов </w:t>
      </w:r>
      <w:r w:rsidRPr="007D6BBD">
        <w:rPr>
          <w:rFonts w:ascii="Times New Roman" w:eastAsia="Calibri" w:hAnsi="Times New Roman" w:cs="Times New Roman"/>
          <w:sz w:val="28"/>
          <w:szCs w:val="28"/>
        </w:rPr>
        <w:br/>
        <w:t xml:space="preserve">в Думе города.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2.3. Антикоррупционная экспертиза действующих нормативных правовых актов проводится при мониторинге их применения.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3. Составление заключений по результатам антикоррупционной экспертизы нормативных правовых актов и проектов нормативных правовых актов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3.1. Текст заключения по результатам антикоррупционной экспертизы проектов нормативных правовых актов включается отдельным разделом и является составной частью заключения правовой экспертизы, которое готовится экспертно-правовым отделом.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Результаты антикоррупционной экспертизы действующих нормативных правовых актов оформляются отдельным заключением экспертно-правового отдела.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3.2. В заключении по результатам антикоррупционной экспертизы указываются следующие сведения: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- реквизиты нормативных правовых актов и их проектов, проходящих антикоррупционную экспертизу;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- все выявленные положения нормативных правовых актов и их проектов, способствующие созданию условий для проявления коррупции, с указанием структурных единиц документа (разделы, главы, статьи, части, пункты, подпункты, абзацы) и соответствующих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Заключение должно содержать предложения и рекомендации, направленные на устранение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 (по доработке проекта нормативного правового акта, внесению изменений в нормативный правовой акт, отмене нормативного правового акта (или его отдельных норм), разработки и принятии иного нормативного правового акта, устраняющего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коррупциогенный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фактор).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3.3. В случае отсутствия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 в нормативных правовых актах и проектах нормативных правовых актов в заключении указывается, что указанные факторы при проведении антикоррупционной экспертизы не выявлены.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3.4. Заключение носит рекомендательный характер и подлежит обязательному рассмотрению на заседании соответствующего комитета Думы города и (или) на заседании Думы города.  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6BBD" w:rsidRPr="007D6BBD" w:rsidRDefault="007D6BBD" w:rsidP="007D6BB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</w:t>
      </w:r>
      <w:r w:rsidRPr="007D6BBD">
        <w:rPr>
          <w:rFonts w:ascii="Times New Roman" w:eastAsia="Calibri" w:hAnsi="Times New Roman" w:cs="Times New Roman"/>
          <w:sz w:val="28"/>
          <w:szCs w:val="28"/>
        </w:rPr>
        <w:tab/>
        <w:t>Проведение независимой антикоррупционной экспертизы нормативных правовых актов и проектов нормативных правовых актов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1639" w:rsidRDefault="007D6BBD" w:rsidP="00350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4.1. В целях предварительного ознакомления граждан с планируемыми к принятию нормативными правовыми актами, а также обеспечения возможности проведения независимой анти</w:t>
      </w:r>
      <w:r w:rsidR="00AB1639">
        <w:rPr>
          <w:rFonts w:ascii="Times New Roman" w:eastAsia="Calibri" w:hAnsi="Times New Roman" w:cs="Times New Roman"/>
          <w:sz w:val="28"/>
          <w:szCs w:val="28"/>
        </w:rPr>
        <w:t>коррупционной экспертизы проекты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нормативных </w:t>
      </w:r>
      <w:r w:rsidRPr="007D6BBD">
        <w:rPr>
          <w:rFonts w:ascii="Times New Roman" w:eastAsia="Calibri" w:hAnsi="Times New Roman" w:cs="Times New Roman"/>
          <w:sz w:val="28"/>
          <w:szCs w:val="28"/>
        </w:rPr>
        <w:lastRenderedPageBreak/>
        <w:t>правовых актов, внесенны</w:t>
      </w:r>
      <w:r w:rsidR="00AB1639">
        <w:rPr>
          <w:rFonts w:ascii="Times New Roman" w:eastAsia="Calibri" w:hAnsi="Times New Roman" w:cs="Times New Roman"/>
          <w:sz w:val="28"/>
          <w:szCs w:val="28"/>
        </w:rPr>
        <w:t>е</w:t>
      </w: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субъектами правотворческой инициативы, </w:t>
      </w:r>
      <w:r w:rsidRPr="00A075DC">
        <w:rPr>
          <w:rFonts w:ascii="Times New Roman" w:eastAsia="Calibri" w:hAnsi="Times New Roman" w:cs="Times New Roman"/>
          <w:sz w:val="28"/>
          <w:szCs w:val="28"/>
        </w:rPr>
        <w:t xml:space="preserve">указанными в пунктах 2 и 3 статьи </w:t>
      </w:r>
      <w:r w:rsidR="00BF0C0C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 w:rsidRPr="00A075DC">
        <w:rPr>
          <w:rFonts w:ascii="Times New Roman" w:eastAsia="Calibri" w:hAnsi="Times New Roman" w:cs="Times New Roman"/>
          <w:sz w:val="28"/>
          <w:szCs w:val="28"/>
        </w:rPr>
        <w:t xml:space="preserve"> Порядка внесения </w:t>
      </w:r>
      <w:r w:rsidRPr="007D6BBD">
        <w:rPr>
          <w:rFonts w:ascii="Times New Roman" w:eastAsia="Calibri" w:hAnsi="Times New Roman" w:cs="Times New Roman"/>
          <w:sz w:val="28"/>
          <w:szCs w:val="28"/>
        </w:rPr>
        <w:t>проектов муниципальных правовых актов в Думу города Нижневартовска, перечня и форм прилагаемых к ним документов</w:t>
      </w:r>
      <w:r w:rsidR="00AB16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B1639">
        <w:rPr>
          <w:rFonts w:ascii="Times New Roman" w:hAnsi="Times New Roman" w:cs="Times New Roman"/>
          <w:sz w:val="28"/>
          <w:szCs w:val="28"/>
        </w:rPr>
        <w:t xml:space="preserve">размещаются Думой города на официальном сайте органов местного самоуправления города в сети Интернет (далее – сайт) в течение трех рабочих дней, со дня внесения.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Срок размещения проектов нормативных правовых актов на сайте - не менее семи дней.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Для направления заключений независимой антикоррупционной экспертизы указывается: дата начала и дата окончания приема заключений, почтовый адрес, адрес электронной почты.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4.2. При проведении независимой антикоррупционной экспертизы эксперты, получившие соответствующую аккредитацию, руководствуются Методикой проведения антикоррупционной экспертизы.</w:t>
      </w:r>
    </w:p>
    <w:p w:rsidR="005C365B" w:rsidRDefault="007D6BBD" w:rsidP="005C365B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Для обеспечения обоснованности, объективности и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проверяемости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результатов </w:t>
      </w:r>
      <w:r w:rsidR="005C365B">
        <w:rPr>
          <w:rFonts w:ascii="Times New Roman" w:eastAsia="Calibri" w:hAnsi="Times New Roman" w:cs="Times New Roman"/>
          <w:sz w:val="28"/>
          <w:szCs w:val="28"/>
        </w:rPr>
        <w:t xml:space="preserve">независимой </w:t>
      </w:r>
      <w:r w:rsidRPr="007D6BBD">
        <w:rPr>
          <w:rFonts w:ascii="Times New Roman" w:eastAsia="Calibri" w:hAnsi="Times New Roman" w:cs="Times New Roman"/>
          <w:sz w:val="28"/>
          <w:szCs w:val="28"/>
        </w:rPr>
        <w:t>антикоррупционной экспертизы проводится экспертиза каждой нормы нормативного правового акта или положения проекта нормативного правового акта.</w:t>
      </w:r>
    </w:p>
    <w:p w:rsidR="007D6BBD" w:rsidRPr="007D6BBD" w:rsidRDefault="007D6BBD" w:rsidP="005C365B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Результаты независимой антикоррупционной экспертизы отражаются в заключении, составленном по форме, утвержденной Приказом Министерства юстиции Российской Федерации от 21.10.2011 №363. В заключении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факторы и предложены способы их устранения.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>4.3. В срок до окончания приема заключений по результатам независимой антикоррупционной экспертизы юридические лица и физические лица, аккредитованные Министерством юстиции Российской Федерации в качестве экспертов по проведению независимой антикоррупционной экспертизы, направляют на бумажном носителе и (или) в форме электронного документа заключения по результатам независимой антикоррупционной экспертизы проектов нормативных правовых актов в Думу города.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4.3. Заключение по результатам независимой антикоррупционной экспертизы носит рекомендательный характер и подлежит обязательному рассмотрению в 30-дневный срок со дня его получения. 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отсутствуют информация о выявленных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факторах или предложения о способе устранения выявленных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факторов), в котором отражаются учет результатов независимой антикоррупционной экспертизы и(или) причины несогласия с выявленным в нормативном правовом акте или проекте нормативного правового акта </w:t>
      </w:r>
      <w:proofErr w:type="spellStart"/>
      <w:r w:rsidRPr="007D6BBD">
        <w:rPr>
          <w:rFonts w:ascii="Times New Roman" w:eastAsia="Calibri" w:hAnsi="Times New Roman" w:cs="Times New Roman"/>
          <w:sz w:val="28"/>
          <w:szCs w:val="28"/>
        </w:rPr>
        <w:t>коррупциогенным</w:t>
      </w:r>
      <w:proofErr w:type="spellEnd"/>
      <w:r w:rsidRPr="007D6BBD">
        <w:rPr>
          <w:rFonts w:ascii="Times New Roman" w:eastAsia="Calibri" w:hAnsi="Times New Roman" w:cs="Times New Roman"/>
          <w:sz w:val="28"/>
          <w:szCs w:val="28"/>
        </w:rPr>
        <w:t xml:space="preserve"> фактором.</w:t>
      </w:r>
    </w:p>
    <w:p w:rsidR="007D6BBD" w:rsidRPr="007D6BBD" w:rsidRDefault="007D6BBD" w:rsidP="007D6BBD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D6BBD" w:rsidRPr="007D6BBD" w:rsidSect="001377AD">
      <w:headerReference w:type="default" r:id="rId7"/>
      <w:pgSz w:w="11906" w:h="16838"/>
      <w:pgMar w:top="1134" w:right="566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BBD" w:rsidRDefault="007D6BBD" w:rsidP="007D6BBD">
      <w:pPr>
        <w:spacing w:after="0" w:line="240" w:lineRule="auto"/>
      </w:pPr>
      <w:r>
        <w:separator/>
      </w:r>
    </w:p>
  </w:endnote>
  <w:endnote w:type="continuationSeparator" w:id="0">
    <w:p w:rsidR="007D6BBD" w:rsidRDefault="007D6BBD" w:rsidP="007D6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BBD" w:rsidRDefault="007D6BBD" w:rsidP="007D6BBD">
      <w:pPr>
        <w:spacing w:after="0" w:line="240" w:lineRule="auto"/>
      </w:pPr>
      <w:r>
        <w:separator/>
      </w:r>
    </w:p>
  </w:footnote>
  <w:footnote w:type="continuationSeparator" w:id="0">
    <w:p w:rsidR="007D6BBD" w:rsidRDefault="007D6BBD" w:rsidP="007D6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8386425"/>
      <w:docPartObj>
        <w:docPartGallery w:val="Page Numbers (Top of Page)"/>
        <w:docPartUnique/>
      </w:docPartObj>
    </w:sdtPr>
    <w:sdtEndPr/>
    <w:sdtContent>
      <w:p w:rsidR="007D6BBD" w:rsidRDefault="007D6B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C0C">
          <w:rPr>
            <w:noProof/>
          </w:rPr>
          <w:t>3</w:t>
        </w:r>
        <w:r>
          <w:fldChar w:fldCharType="end"/>
        </w:r>
      </w:p>
    </w:sdtContent>
  </w:sdt>
  <w:p w:rsidR="007D6BBD" w:rsidRDefault="007D6B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4379"/>
    <w:multiLevelType w:val="hybridMultilevel"/>
    <w:tmpl w:val="7DD026B2"/>
    <w:lvl w:ilvl="0" w:tplc="DDEE7B9C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47717385"/>
    <w:multiLevelType w:val="hybridMultilevel"/>
    <w:tmpl w:val="11E03250"/>
    <w:lvl w:ilvl="0" w:tplc="041C1C7C">
      <w:start w:val="2"/>
      <w:numFmt w:val="decimal"/>
      <w:lvlText w:val="%1."/>
      <w:lvlJc w:val="left"/>
      <w:pPr>
        <w:ind w:left="12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39"/>
    <w:rsid w:val="001377AD"/>
    <w:rsid w:val="00350A2C"/>
    <w:rsid w:val="005B69E3"/>
    <w:rsid w:val="005C365B"/>
    <w:rsid w:val="006A1578"/>
    <w:rsid w:val="00702494"/>
    <w:rsid w:val="007D6BBD"/>
    <w:rsid w:val="00A075DC"/>
    <w:rsid w:val="00AB1639"/>
    <w:rsid w:val="00B46BAF"/>
    <w:rsid w:val="00B74C23"/>
    <w:rsid w:val="00BF0C0C"/>
    <w:rsid w:val="00CA6A39"/>
    <w:rsid w:val="00D6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CE3E6B"/>
  <w15:chartTrackingRefBased/>
  <w15:docId w15:val="{28671C5C-4BAA-4107-90B3-1E998B19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B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C2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D6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6BBD"/>
  </w:style>
  <w:style w:type="paragraph" w:styleId="a8">
    <w:name w:val="footer"/>
    <w:basedOn w:val="a"/>
    <w:link w:val="a9"/>
    <w:uiPriority w:val="99"/>
    <w:unhideWhenUsed/>
    <w:rsid w:val="007D6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6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Людмила Николаевна</dc:creator>
  <cp:keywords/>
  <dc:description/>
  <cp:lastModifiedBy>Некрасова Наталья Сергеевна</cp:lastModifiedBy>
  <cp:revision>11</cp:revision>
  <cp:lastPrinted>2023-12-25T06:05:00Z</cp:lastPrinted>
  <dcterms:created xsi:type="dcterms:W3CDTF">2023-10-11T05:54:00Z</dcterms:created>
  <dcterms:modified xsi:type="dcterms:W3CDTF">2023-12-25T06:07:00Z</dcterms:modified>
</cp:coreProperties>
</file>